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8B" w:rsidRPr="00F91BCC" w:rsidRDefault="00F6478B" w:rsidP="00F6478B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Calibri" w:hAnsi="Times New Roman" w:cs="Times New Roman"/>
          <w:sz w:val="20"/>
          <w:szCs w:val="20"/>
        </w:rPr>
        <w:t>14: Vol.-4, Issue- 1, P. 134-138</w:t>
      </w:r>
    </w:p>
    <w:p w:rsidR="00F6478B" w:rsidRDefault="00F6478B" w:rsidP="00F6478B">
      <w:pPr>
        <w:pStyle w:val="Header"/>
      </w:pPr>
    </w:p>
    <w:p w:rsidR="00F6478B" w:rsidRPr="002D01CF" w:rsidRDefault="00F6478B" w:rsidP="00F6478B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2D01CF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</w:rPr>
        <w:t>Case report</w:t>
      </w:r>
      <w:r w:rsidRPr="002D01CF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proofErr w:type="spellStart"/>
      <w:r w:rsidRPr="002D01CF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Banti’s</w:t>
      </w:r>
      <w:proofErr w:type="spellEnd"/>
      <w:r w:rsidRPr="002D01CF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 xml:space="preserve"> syndrome in a young male</w:t>
      </w:r>
    </w:p>
    <w:p w:rsidR="00F6478B" w:rsidRPr="002D01CF" w:rsidRDefault="00F6478B" w:rsidP="00F6478B">
      <w:pPr>
        <w:spacing w:after="0" w:line="360" w:lineRule="auto"/>
        <w:rPr>
          <w:rFonts w:asciiTheme="majorHAnsi" w:hAnsiTheme="majorHAnsi" w:cs="Times New Roman"/>
          <w:b/>
          <w:color w:val="000000"/>
          <w:vertAlign w:val="superscript"/>
        </w:rPr>
      </w:pPr>
      <w:r w:rsidRPr="002D01CF">
        <w:rPr>
          <w:rFonts w:asciiTheme="majorHAnsi" w:hAnsiTheme="majorHAnsi" w:cs="Times New Roman"/>
          <w:b/>
          <w:color w:val="000000"/>
        </w:rPr>
        <w:t>Dr. Harish Rajaram</w:t>
      </w:r>
      <w:r w:rsidRPr="002D01CF">
        <w:rPr>
          <w:rFonts w:asciiTheme="majorHAnsi" w:hAnsiTheme="majorHAnsi" w:cs="Times New Roman"/>
          <w:b/>
          <w:color w:val="000000"/>
          <w:vertAlign w:val="superscript"/>
        </w:rPr>
        <w:t>1</w:t>
      </w:r>
      <w:r w:rsidRPr="002D01CF">
        <w:rPr>
          <w:rFonts w:asciiTheme="majorHAnsi" w:hAnsiTheme="majorHAnsi" w:cs="Times New Roman"/>
          <w:b/>
          <w:color w:val="000000"/>
        </w:rPr>
        <w:t xml:space="preserve">, Dr </w:t>
      </w:r>
      <w:proofErr w:type="spellStart"/>
      <w:r w:rsidRPr="002D01CF">
        <w:rPr>
          <w:rFonts w:asciiTheme="majorHAnsi" w:hAnsiTheme="majorHAnsi" w:cs="Times New Roman"/>
          <w:b/>
          <w:color w:val="000000"/>
        </w:rPr>
        <w:t>Balasubramanian</w:t>
      </w:r>
      <w:proofErr w:type="spellEnd"/>
      <w:r w:rsidRPr="002D01CF">
        <w:rPr>
          <w:rFonts w:asciiTheme="majorHAnsi" w:hAnsiTheme="majorHAnsi" w:cs="Times New Roman"/>
          <w:b/>
          <w:color w:val="000000"/>
        </w:rPr>
        <w:t xml:space="preserve"> Rajaraman</w:t>
      </w:r>
      <w:r w:rsidRPr="002D01CF">
        <w:rPr>
          <w:rFonts w:asciiTheme="majorHAnsi" w:hAnsiTheme="majorHAnsi" w:cs="Times New Roman"/>
          <w:b/>
          <w:color w:val="000000"/>
          <w:vertAlign w:val="superscript"/>
        </w:rPr>
        <w:t>2</w:t>
      </w:r>
    </w:p>
    <w:p w:rsidR="00F6478B" w:rsidRPr="002D01CF" w:rsidRDefault="00F6478B" w:rsidP="00F6478B">
      <w:pPr>
        <w:spacing w:after="0" w:line="360" w:lineRule="auto"/>
        <w:rPr>
          <w:rFonts w:asciiTheme="majorHAnsi" w:hAnsiTheme="majorHAnsi" w:cs="Times New Roman"/>
          <w:b/>
          <w:color w:val="000000"/>
          <w:sz w:val="18"/>
          <w:szCs w:val="18"/>
        </w:rPr>
      </w:pPr>
    </w:p>
    <w:p w:rsidR="00F6478B" w:rsidRPr="002D01CF" w:rsidRDefault="00F6478B" w:rsidP="00F6478B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2D01CF">
        <w:rPr>
          <w:rFonts w:asciiTheme="majorHAnsi" w:hAnsiTheme="majorHAnsi" w:cs="Times New Roman"/>
          <w:color w:val="000000"/>
          <w:sz w:val="18"/>
          <w:szCs w:val="18"/>
          <w:vertAlign w:val="superscript"/>
        </w:rPr>
        <w:t>1</w:t>
      </w:r>
      <w:r w:rsidRPr="002D01CF">
        <w:rPr>
          <w:rFonts w:asciiTheme="majorHAnsi" w:hAnsiTheme="majorHAnsi" w:cs="Times New Roman"/>
          <w:color w:val="000000"/>
          <w:sz w:val="18"/>
          <w:szCs w:val="18"/>
        </w:rPr>
        <w:t xml:space="preserve">Post graduate, Department of Internal Medicine, SMVMCH, </w:t>
      </w:r>
      <w:proofErr w:type="spellStart"/>
      <w:r w:rsidRPr="002D01CF">
        <w:rPr>
          <w:rFonts w:asciiTheme="majorHAnsi" w:hAnsiTheme="majorHAnsi" w:cs="Times New Roman"/>
          <w:color w:val="000000"/>
          <w:sz w:val="18"/>
          <w:szCs w:val="18"/>
        </w:rPr>
        <w:t>Puducherry</w:t>
      </w:r>
      <w:proofErr w:type="spellEnd"/>
    </w:p>
    <w:p w:rsidR="00F6478B" w:rsidRPr="002D01CF" w:rsidRDefault="00F6478B" w:rsidP="00F6478B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</w:rPr>
      </w:pPr>
      <w:r w:rsidRPr="002D01CF">
        <w:rPr>
          <w:rFonts w:asciiTheme="majorHAnsi" w:hAnsiTheme="majorHAnsi" w:cs="Times New Roman"/>
          <w:color w:val="000000"/>
          <w:sz w:val="18"/>
          <w:szCs w:val="18"/>
          <w:vertAlign w:val="superscript"/>
        </w:rPr>
        <w:t>2</w:t>
      </w:r>
      <w:r w:rsidRPr="002D01CF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proofErr w:type="gramStart"/>
      <w:r w:rsidRPr="002D01CF">
        <w:rPr>
          <w:rFonts w:asciiTheme="majorHAnsi" w:hAnsiTheme="majorHAnsi" w:cs="Times New Roman"/>
          <w:color w:val="000000"/>
          <w:sz w:val="18"/>
          <w:szCs w:val="18"/>
        </w:rPr>
        <w:t>Associate  Professor</w:t>
      </w:r>
      <w:proofErr w:type="gramEnd"/>
      <w:r w:rsidRPr="002D01CF">
        <w:rPr>
          <w:rFonts w:asciiTheme="majorHAnsi" w:hAnsiTheme="majorHAnsi" w:cs="Times New Roman"/>
          <w:color w:val="000000"/>
          <w:sz w:val="18"/>
          <w:szCs w:val="18"/>
        </w:rPr>
        <w:t xml:space="preserve">, Department of Internal Medicine, SMVMCH, </w:t>
      </w:r>
      <w:proofErr w:type="spellStart"/>
      <w:r w:rsidRPr="002D01CF">
        <w:rPr>
          <w:rFonts w:asciiTheme="majorHAnsi" w:hAnsiTheme="majorHAnsi" w:cs="Times New Roman"/>
          <w:color w:val="000000"/>
          <w:sz w:val="18"/>
          <w:szCs w:val="18"/>
        </w:rPr>
        <w:t>Puducherry</w:t>
      </w:r>
      <w:proofErr w:type="spellEnd"/>
    </w:p>
    <w:p w:rsidR="00F6478B" w:rsidRDefault="00F6478B" w:rsidP="00F6478B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</w:rPr>
      </w:pPr>
      <w:r w:rsidRPr="002D01CF">
        <w:rPr>
          <w:rFonts w:asciiTheme="majorHAnsi" w:hAnsiTheme="majorHAnsi" w:cs="Times New Roman"/>
          <w:b/>
          <w:color w:val="000000"/>
          <w:sz w:val="18"/>
          <w:szCs w:val="18"/>
          <w:shd w:val="clear" w:color="auto" w:fill="FFFFFF"/>
        </w:rPr>
        <w:t>Name of the Institute/college:</w:t>
      </w:r>
      <w:r w:rsidRPr="002D01CF">
        <w:rPr>
          <w:rFonts w:asciiTheme="majorHAnsi" w:hAnsiTheme="majorHAnsi" w:cs="Times New Roman"/>
          <w:color w:val="000000"/>
          <w:sz w:val="18"/>
          <w:szCs w:val="18"/>
        </w:rPr>
        <w:t xml:space="preserve"> Sri </w:t>
      </w:r>
      <w:proofErr w:type="spellStart"/>
      <w:r w:rsidRPr="002D01CF">
        <w:rPr>
          <w:rFonts w:asciiTheme="majorHAnsi" w:hAnsiTheme="majorHAnsi" w:cs="Times New Roman"/>
          <w:color w:val="000000"/>
          <w:sz w:val="18"/>
          <w:szCs w:val="18"/>
        </w:rPr>
        <w:t>Manakula</w:t>
      </w:r>
      <w:proofErr w:type="spellEnd"/>
      <w:r w:rsidRPr="002D01CF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proofErr w:type="spellStart"/>
      <w:r w:rsidRPr="002D01CF">
        <w:rPr>
          <w:rFonts w:asciiTheme="majorHAnsi" w:hAnsiTheme="majorHAnsi" w:cs="Times New Roman"/>
          <w:color w:val="000000"/>
          <w:sz w:val="18"/>
          <w:szCs w:val="18"/>
        </w:rPr>
        <w:t>Vinayagar</w:t>
      </w:r>
      <w:proofErr w:type="spellEnd"/>
      <w:r w:rsidRPr="002D01CF">
        <w:rPr>
          <w:rFonts w:asciiTheme="majorHAnsi" w:hAnsiTheme="majorHAnsi" w:cs="Times New Roman"/>
          <w:color w:val="000000"/>
          <w:sz w:val="18"/>
          <w:szCs w:val="18"/>
        </w:rPr>
        <w:t xml:space="preserve"> Medical College and Hospital</w:t>
      </w:r>
      <w:r w:rsidRPr="002D01CF">
        <w:rPr>
          <w:rFonts w:asciiTheme="majorHAnsi" w:hAnsiTheme="majorHAnsi" w:cs="Times New Roman"/>
          <w:color w:val="000000"/>
          <w:sz w:val="18"/>
          <w:szCs w:val="18"/>
        </w:rPr>
        <w:br/>
      </w:r>
      <w:r w:rsidRPr="002D01CF">
        <w:rPr>
          <w:rFonts w:asciiTheme="majorHAnsi" w:hAnsiTheme="majorHAnsi" w:cs="Times New Roman"/>
          <w:b/>
          <w:color w:val="000000"/>
          <w:sz w:val="18"/>
          <w:szCs w:val="18"/>
          <w:shd w:val="clear" w:color="auto" w:fill="FFFFFF"/>
        </w:rPr>
        <w:t>Corresponding author:</w:t>
      </w:r>
      <w:r w:rsidRPr="002D01CF">
        <w:rPr>
          <w:rFonts w:asciiTheme="majorHAnsi" w:hAnsiTheme="majorHAnsi" w:cs="Times New Roman"/>
          <w:color w:val="000000"/>
          <w:sz w:val="18"/>
          <w:szCs w:val="18"/>
        </w:rPr>
        <w:t xml:space="preserve"> Dr Harish </w:t>
      </w:r>
      <w:proofErr w:type="spellStart"/>
      <w:r w:rsidRPr="002D01CF">
        <w:rPr>
          <w:rFonts w:asciiTheme="majorHAnsi" w:hAnsiTheme="majorHAnsi" w:cs="Times New Roman"/>
          <w:color w:val="000000"/>
          <w:sz w:val="18"/>
          <w:szCs w:val="18"/>
        </w:rPr>
        <w:t>Rajaram</w:t>
      </w:r>
      <w:proofErr w:type="spellEnd"/>
    </w:p>
    <w:p w:rsidR="00F6478B" w:rsidRDefault="00F6478B" w:rsidP="00F6478B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</w:rPr>
      </w:pPr>
      <w:r>
        <w:rPr>
          <w:rFonts w:asciiTheme="majorHAnsi" w:hAnsiTheme="majorHAnsi" w:cs="Times New Roman"/>
          <w:color w:val="000000"/>
          <w:sz w:val="18"/>
          <w:szCs w:val="18"/>
        </w:rPr>
        <w:t xml:space="preserve">Date of submission: 08 October 2014; Date of Publication: 10 December 2014 </w:t>
      </w:r>
    </w:p>
    <w:p w:rsidR="00F6478B" w:rsidRPr="002D01CF" w:rsidRDefault="00F6478B" w:rsidP="00F6478B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2D01CF">
        <w:rPr>
          <w:rFonts w:asciiTheme="majorHAnsi" w:hAnsiTheme="majorHAnsi" w:cs="Times New Roman"/>
          <w:color w:val="000000"/>
          <w:sz w:val="18"/>
          <w:szCs w:val="18"/>
        </w:rPr>
        <w:br/>
      </w:r>
      <w:r w:rsidRPr="002D01CF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F6478B" w:rsidRPr="002D01CF" w:rsidRDefault="00F6478B" w:rsidP="00F647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D01CF">
        <w:rPr>
          <w:rFonts w:ascii="Times New Roman" w:hAnsi="Times New Roman" w:cs="Times New Roman"/>
          <w:sz w:val="20"/>
          <w:szCs w:val="20"/>
        </w:rPr>
        <w:t>Banti’s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 syndrome is a rare disease which is characterised by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ascites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splenomegaly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 and portal hypertension without coexisting cirrhosis of liver. There is no geographical predilection for the disease. It is usually occurs around 3</w:t>
      </w:r>
      <w:r w:rsidRPr="002D01CF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2D01CF">
        <w:rPr>
          <w:rFonts w:ascii="Times New Roman" w:hAnsi="Times New Roman" w:cs="Times New Roman"/>
          <w:sz w:val="20"/>
          <w:szCs w:val="20"/>
        </w:rPr>
        <w:t xml:space="preserve"> to 4</w:t>
      </w:r>
      <w:r w:rsidRPr="002D01C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D01CF">
        <w:rPr>
          <w:rFonts w:ascii="Times New Roman" w:hAnsi="Times New Roman" w:cs="Times New Roman"/>
          <w:sz w:val="20"/>
          <w:szCs w:val="20"/>
        </w:rPr>
        <w:t xml:space="preserve"> decade of life. Here we report a case of a 16 year old boy who presented with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ascites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, massive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splenomegaly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pancytopenia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. CECT abdomen revealed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thrombosed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 portal radicals with normal liver. He was subsequently diagnosed to have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Banti’s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 syndrome. Through this case we deduce that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Banti’s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 syndrome must be considered in </w:t>
      </w:r>
      <w:proofErr w:type="gramStart"/>
      <w:r w:rsidRPr="002D01CF">
        <w:rPr>
          <w:rFonts w:ascii="Times New Roman" w:hAnsi="Times New Roman" w:cs="Times New Roman"/>
          <w:sz w:val="20"/>
          <w:szCs w:val="20"/>
        </w:rPr>
        <w:t>cases</w:t>
      </w:r>
      <w:proofErr w:type="gramEnd"/>
      <w:r w:rsidRPr="002D01CF">
        <w:rPr>
          <w:rFonts w:ascii="Times New Roman" w:hAnsi="Times New Roman" w:cs="Times New Roman"/>
          <w:sz w:val="20"/>
          <w:szCs w:val="20"/>
        </w:rPr>
        <w:t xml:space="preserve"> with portal hypertension though they may be of younger age group. </w:t>
      </w:r>
    </w:p>
    <w:p w:rsidR="00F6478B" w:rsidRDefault="00F6478B" w:rsidP="00F6478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1CF">
        <w:rPr>
          <w:rFonts w:ascii="Times New Roman" w:hAnsi="Times New Roman" w:cs="Times New Roman"/>
          <w:b/>
          <w:sz w:val="20"/>
          <w:szCs w:val="20"/>
        </w:rPr>
        <w:t xml:space="preserve">Key words: </w:t>
      </w:r>
      <w:proofErr w:type="spellStart"/>
      <w:r w:rsidRPr="002D01CF">
        <w:rPr>
          <w:rFonts w:ascii="Times New Roman" w:hAnsi="Times New Roman" w:cs="Times New Roman"/>
          <w:sz w:val="20"/>
          <w:szCs w:val="20"/>
        </w:rPr>
        <w:t>Banti’s</w:t>
      </w:r>
      <w:proofErr w:type="spellEnd"/>
      <w:r w:rsidRPr="002D01CF">
        <w:rPr>
          <w:rFonts w:ascii="Times New Roman" w:hAnsi="Times New Roman" w:cs="Times New Roman"/>
          <w:sz w:val="20"/>
          <w:szCs w:val="20"/>
        </w:rPr>
        <w:t xml:space="preserve"> syndrome, portal vein thrombosis, non-cirrhotic portal fibrosis</w:t>
      </w:r>
    </w:p>
    <w:p w:rsidR="00F6478B" w:rsidRPr="002D01CF" w:rsidRDefault="00F6478B" w:rsidP="00F647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478B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8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0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8B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6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6478B"/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2014-12-11T10:58:00Z</dcterms:created>
  <dcterms:modified xsi:type="dcterms:W3CDTF">2014-12-11T10:59:00Z</dcterms:modified>
</cp:coreProperties>
</file>